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6"/>
        <w:gridCol w:w="2058"/>
        <w:gridCol w:w="850"/>
        <w:gridCol w:w="851"/>
        <w:gridCol w:w="1985"/>
        <w:gridCol w:w="708"/>
        <w:gridCol w:w="1560"/>
        <w:gridCol w:w="1275"/>
        <w:gridCol w:w="426"/>
      </w:tblGrid>
      <w:tr w:rsidR="00AF4787" w:rsidRPr="00065ED5" w:rsidTr="00AF4787">
        <w:trPr>
          <w:trHeight w:val="315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787" w:rsidRDefault="00AF4787" w:rsidP="005A52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:I4"/>
            <w:r w:rsidRPr="0006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Реализация САЕ в отчетном </w:t>
            </w:r>
            <w:proofErr w:type="gramStart"/>
            <w:r w:rsidRPr="0006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периоде</w:t>
            </w:r>
            <w:bookmarkEnd w:id="0"/>
            <w:proofErr w:type="gramEnd"/>
          </w:p>
          <w:p w:rsidR="00AF4787" w:rsidRPr="00065ED5" w:rsidRDefault="00AF4787" w:rsidP="00AF4787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Таблица 5</w:t>
            </w:r>
          </w:p>
        </w:tc>
      </w:tr>
      <w:tr w:rsidR="00AF4787" w:rsidRPr="00065ED5" w:rsidTr="00AF4787">
        <w:trPr>
          <w:trHeight w:val="12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 исполнения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«дорожной карты»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bookmarkStart w:id="1" w:name="_GoBack"/>
        <w:bookmarkEnd w:id="1"/>
      </w:tr>
      <w:tr w:rsidR="00AF4787" w:rsidRPr="00065ED5" w:rsidTr="00AF4787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F4787" w:rsidRPr="00065ED5" w:rsidTr="00AF478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C02F2B" w:rsidRDefault="00AF4787" w:rsidP="005A52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AF4787" w:rsidRPr="00065ED5" w:rsidTr="00AF4787">
        <w:trPr>
          <w:trHeight w:val="31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1.  Общеуниверситетские мероприятия по формированию и развитию САЕ</w:t>
            </w:r>
          </w:p>
        </w:tc>
      </w:tr>
      <w:tr w:rsidR="00AF4787" w:rsidRPr="00065ED5" w:rsidTr="00AF4787">
        <w:trPr>
          <w:trHeight w:val="12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и инновационных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Кол-во программ/кол-во студентов (</w:t>
            </w:r>
            <w:proofErr w:type="spellStart"/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Е.Ю. Брель, О.Н. Калачикова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1.1.3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2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академической мобильности и интернационализации НПР и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под приоритетные направления развития и задачи САЕ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НПР, принявших участие в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про-граммах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академической мобильности (чел.)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А.Н. Рязанова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2.7.2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7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Рекрутинг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ведущих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конкурентоспособных исследователей и преподавателей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Количество ведущих специалистов, привлеченных к исследованиям и преподаванию в университете (чел.)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Т.В. Климова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2.2.1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22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фокусировки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научно-педагогического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на основной деятельности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Отчетный документ по анализу влияния системы управления стимулированием на повышения эффективности управления персоналом (да/нет)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Т.В. Климова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5.1.3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9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Профессионализация управленческих кадров и развитие системы лидерства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профессионализацию управленческих кадров структурных подразделений (шт.)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Т.В. Климова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2.3.4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культуры непрерывных изменений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советов и комиссий (шт.)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Е.А. Суханова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2.5.1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33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трансформации деятельности аспирантуры и докторантуры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 подготовки аспирантов, в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с сетевого взаимодействия с ведущими зарубежными/российскими университетами, научными организациями, инновационными компаниями  (шт.)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Т.В. Касаткина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3.1.2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33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привлечению талантливых абитуриентов и студентов из ведущих иностранных университетов для обучения в российских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вузах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школьников, привлеченных  к участию в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(чел.);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Доля иностранных студентов, обучающихся по основным образовательным программам в общем числе студентов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11420/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18,34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Е.А. Суханова, Е.В. Павлов, В.Г. Сенько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3.2.5, М 3.3.2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9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инновационной экосистемы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малых предприятий/количество договоров на использование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ИС/количество охранных документов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4/11/110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О.К. Беляков, М.С. Головатов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4.2.1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26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академических структур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Доля средств, направленных на развитие системы эффективного контракта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О.Г. Васильева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5.3.8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Формирование предпринимательства и инновационной активности в молодежной среде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студентов, выбравших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-предпринимательский трек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32,07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М.А. Головатов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4.2.4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взрослых с ориентацией на глобально - конкурентоспособные компании и университеты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слушателей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5867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Г.В. Можаева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1.1.7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81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информационного характера о работе системы САЕ и каждой САЕ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и уровня вовлеченности сотрудников: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Эмер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5.5.1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Встречи на факультетах,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корпоративная рассылка, 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br/>
              <w:t>выпуск специ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альных буклетов,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размещение информации в социальных сетях,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br/>
              <w:t>разм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ещение информации в специальном блоке на сайте «Слово ректор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а»,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 специального ролика, посвященного четырем САЕ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br/>
              <w:t>раз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мещение информационных материалов в корпоративной газете «</w:t>
            </w:r>
            <w:proofErr w:type="spellStart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</w:t>
            </w:r>
            <w:proofErr w:type="spellEnd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proofErr w:type="spellEnd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 xml:space="preserve">» и городской газете «проект </w:t>
            </w:r>
            <w:proofErr w:type="spellStart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Alma</w:t>
            </w:r>
            <w:proofErr w:type="spellEnd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proofErr w:type="spellEnd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и выпуск с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увенирной продукции, посвященной САЕ</w:t>
            </w:r>
          </w:p>
        </w:tc>
      </w:tr>
      <w:tr w:rsidR="00AF4787" w:rsidRPr="00065ED5" w:rsidTr="00AF4787">
        <w:trPr>
          <w:trHeight w:val="25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выполнения календарного плана САЕ по итогам года на заседании Ученого 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УС и с решением о рассмотрении календарного плана САЕ по итогам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Протокол №2 от 28.02.18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Исполнительные директора САЕ, Н.А. Сазонтова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5.1.3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ета заслушаны итоги 2017 года и план развития на 2018 год по САЕ «У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мные материалы и технологии» </w:t>
            </w:r>
          </w:p>
        </w:tc>
      </w:tr>
      <w:tr w:rsidR="00AF4787" w:rsidRPr="00065ED5" w:rsidTr="00AF4787">
        <w:trPr>
          <w:trHeight w:val="82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20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Формирование и развитие САЕ TSSW: Сибирский институт будущего</w:t>
            </w:r>
            <w:bookmarkEnd w:id="2"/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Цель САЕ: Вовлечение мира в развитие Сибири, определение роли Сибири в глобальном разделении труда при переходе к новому технологическому укладу. Повышение уровня узнаваемости и укрепление международной академической репутации ТГУ.</w:t>
            </w:r>
          </w:p>
        </w:tc>
      </w:tr>
      <w:tr w:rsidR="00AF4787" w:rsidRPr="00065ED5" w:rsidTr="00AF4787">
        <w:trPr>
          <w:trHeight w:val="23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Задачи САЕ:1. Трансформация модели образования и создание нового стандарта профессионального и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трансфессионального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построенного на уникальных системных междисциплинарных пакетах знаний. 2. Разработка и реализация исследовательских программ, направленных на решение проблемы «повышение качества жизни человека, проживающего на территории с особой экосистемой, экономическим ландшафтом и социокультурной средой» на основе ме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трансдисциплинарного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подхода с использованием в качестве основных инструментов «природную  мегаструктуру», «4М-концепцию  организации и проведения комплексных исследований»  (http://en.science.tsu.ru/centers/research-into-biota-climate-and-landscape) 3. Создание в ТГУ на базе Центра TSSW исследовательского и культурно-образовательного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хаба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, вовлекающего мировое и российское (сибирское) научное сообщество в изучение Сибирского региона.</w:t>
            </w:r>
          </w:p>
        </w:tc>
      </w:tr>
      <w:tr w:rsidR="00AF4787" w:rsidRPr="00065ED5" w:rsidTr="00AF4787">
        <w:trPr>
          <w:trHeight w:val="76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Позиции в отраслевых (предметных) рейтингах по итогам формирования и развития САЕ:</w:t>
            </w:r>
          </w:p>
        </w:tc>
      </w:tr>
      <w:tr w:rsidR="00AF4787" w:rsidRPr="00065ED5" w:rsidTr="00AF4787">
        <w:trPr>
          <w:trHeight w:val="51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AF4787" w:rsidRPr="00065ED5" w:rsidTr="00AF4787">
        <w:trPr>
          <w:trHeight w:val="5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forestry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5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5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Earth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Marine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5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5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5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Performing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5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5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251-300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251-300</w:t>
            </w:r>
          </w:p>
        </w:tc>
      </w:tr>
      <w:tr w:rsidR="00AF4787" w:rsidRPr="00065ED5" w:rsidTr="00AF4787">
        <w:trPr>
          <w:trHeight w:val="15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модернизация магистерских программ, реализуемых на русском/ английском языках, включая полностью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об открытии и/или модернизации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магистерских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Мирошников С.Н.,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Брель Е.Ю.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1.1.4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35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образовательных программ и инновационных технологий для повышения качества языковых компетенций НПР и обучающихся, включая обучение русскому языку как иностранному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 НПР и обучающихся в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образовательных программ и инновационных технологий для повышения качества языковых компетенций НПР и обучающихся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Демешкина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1.1.2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20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посредством  международной и профессиональной аккредитации образовательных программ и интеллектуальных 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аккредитованных образовательных программ и интеллектуальных продуктов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Мирошников С.Н.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Руденко Т.В.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1.1.8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путем развития электронного обучения и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курсов ЭО и дистанционных технологий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Можаева Г.В.,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Борило Л.П.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1.1.6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20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Проведение летних и зимних междисциплинарных студенческих и аспирантских школ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Приказы о проведении летних и зимних междисциплинарных студенческих и аспирантских школ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Погорельская А.М.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Дмитриева Л.П.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3.3.3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A37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bookmarkEnd w:id="3"/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Формирование парка исследовательских проектов на конкурсной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парк исследовательских проектов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Борило Л.П.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7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Создание/модернизация лабораторий  под руководством ведущих иностранных и российских ученых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Приказы о создании/модернизации лабораторий под руководством ведущих иностранных и российских ученых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Борило Л.П.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4.1.3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8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Участие/лидерство в крупных международных сетевых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, научных сообществах и коллаборациях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вступлении/организации крупных международных сетевых проектов, научных сообществ и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коллабораций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Каллаган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Борило Л.П.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4.1.7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83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специализированных научных журналов ТГУ в мировые базы данных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специализированных научных журналов ТГУ в мировых базах данных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Борило Л.П.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Катунин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 Д.А.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4.1.8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30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Создание и модернизация УНУ (Уникальной научной установки) на базе исследовательских станций ТГУ и сети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Борило Л.П.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Шадуйко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Австрия, Болгария, Бельгия, Великобритания, Италия, Поль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ша, Румыния, Швеция, Франция, Япония (22 зарубежных ученых)</w:t>
            </w:r>
            <w:proofErr w:type="gramEnd"/>
          </w:p>
        </w:tc>
      </w:tr>
      <w:tr w:rsidR="00AF4787" w:rsidRPr="00065ED5" w:rsidTr="00AF4787">
        <w:trPr>
          <w:trHeight w:val="76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Формирование и развитие САЕ «Институт биомедицины»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Цель САЕ: формирование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международнопризнанного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центра образования, исследований и инноваций в области биомедицинских технологий, обеспечивающих повышение качества жизни и активного долголетия человека.</w:t>
            </w:r>
          </w:p>
        </w:tc>
      </w:tr>
      <w:tr w:rsidR="00AF4787" w:rsidRPr="00065ED5" w:rsidTr="00AF4787">
        <w:trPr>
          <w:trHeight w:val="963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Задачи САЕ: Развитие трансляционной биомедицины (за счет консорциума с ведущими научно-исследовательскими и клиническими учреждениями), подготовка кадров и организация эффективного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трансфера технологий в клиническую практику.</w:t>
            </w:r>
          </w:p>
        </w:tc>
      </w:tr>
      <w:tr w:rsidR="00AF4787" w:rsidRPr="00065ED5" w:rsidTr="00AF4787">
        <w:trPr>
          <w:trHeight w:val="5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Позиции в отраслевых (предметных) рейтингах по итогам формирования и развития САЕ:</w:t>
            </w:r>
          </w:p>
        </w:tc>
      </w:tr>
      <w:tr w:rsidR="00AF4787" w:rsidRPr="00065ED5" w:rsidTr="00AF4787">
        <w:trPr>
          <w:trHeight w:val="58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AF4787" w:rsidRPr="00065ED5" w:rsidTr="00AF4787">
        <w:trPr>
          <w:trHeight w:val="58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58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Biological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17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модернизация ООП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магистерских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 и аспирантских программ по научным направлениям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об открытии и/или модернизации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магистерских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 аспирантских программ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Черепанов В.Н.,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Кистенев Ю.В.,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Демин В.В.,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Замятин А.В.,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Касаткина Т.В.,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1.1.4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3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ДПО по научным направлениям САЕ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программа ДПО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Замятин А.В.,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Можаева Г.В.,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Демкин В.П.,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Ходанович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М.Ю.,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Воробьев Д.С.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1.1.6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центра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биоинформатики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ТГУ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центра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биоинформатики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Приказ о создании центра № 860/ОД от 02.11.17г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Замятин А.В.,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Кистенев Ю.В.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4.1.3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Ученого 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7 от 28.06.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AF4787" w:rsidRPr="00065ED5" w:rsidTr="00AF4787">
        <w:trPr>
          <w:trHeight w:val="22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Создание международного дата-центра для хранения и интеллектуальной обработки биомедицинских данных/изображений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Приказ о создании международного дата-центра для хранения и интеллектуальной обработки биомедицинских данных/изображений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Замятин А.В.,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Кистенев Ю.В.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4.1.3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</w:p>
        </w:tc>
      </w:tr>
      <w:tr w:rsidR="00AF4787" w:rsidRPr="00065ED5" w:rsidTr="00AF4787">
        <w:trPr>
          <w:trHeight w:val="14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Создание Консорциума «Центр трансляционной медицины»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Консорциума «Центр трансляционной медицины»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Кистенев Ю.В.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4.1.5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а 2018</w:t>
            </w:r>
          </w:p>
        </w:tc>
      </w:tr>
      <w:tr w:rsidR="00AF4787" w:rsidRPr="00065ED5" w:rsidTr="00AF4787">
        <w:trPr>
          <w:trHeight w:val="1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Проектная и системная интеграция с организациями медицинского профиля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Соглашения о сотрудничестве с организациями медицинского профиля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Кистенев Ю.В.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4.1.5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41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4. Формирование и развитие САЕ «Институт человека цифровой эпохи»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Цель САЕ: исследовательское, кадровое и технологическое обеспечение процессов трансформации человека и общества при переходе к новому промышленному укладу. ТГУ фокусируется на изучении качества жизни человека и общества в связи с новой промышленной революцией, которая меняет экономический ландшафт (экономика по требованию), социальную структуру общества (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, расслоение и неравенство), качество жизни людей в масштабах планеты.</w:t>
            </w:r>
          </w:p>
        </w:tc>
      </w:tr>
      <w:tr w:rsidR="00AF4787" w:rsidRPr="00065ED5" w:rsidTr="00AF4787">
        <w:trPr>
          <w:trHeight w:val="271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Задачи САЕ:. ˗ Сформировать междисциплинарный научно-образовательный центр с лидерскими позициями в мире в области инновационных методов анализа данных и машинного обучения, изучения влияния социальных взаимоотношений между людьми на принятие рациональных экономических и общественных решений.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˗ На основе исследования современных социальных, психологических, нейрофизиологических и генетических факторов успешности в STEAM (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) разработать и внедрить в образование ряд технологий, развивающих одаренность и повышающих успешность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данным направлениям. ˗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Сформировать международную коллаборацию (более 20 ведущих международных научно-образовательных организаций) с лидерством ТГУ в области междисциплинарных исследований биологических, психологических и социальных факторов раннего детского развития; занять лидерскую позицию в 2-х международных коллаборациях.</w:t>
            </w:r>
            <w:proofErr w:type="gramEnd"/>
          </w:p>
        </w:tc>
      </w:tr>
      <w:tr w:rsidR="00AF4787" w:rsidRPr="00065ED5" w:rsidTr="00AF4787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Позиции в отраслевых (предметных) рейтингах по итогам формирования и развития САЕ:</w:t>
            </w:r>
          </w:p>
        </w:tc>
      </w:tr>
      <w:tr w:rsidR="00AF4787" w:rsidRPr="00065ED5" w:rsidTr="00AF4787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AF4787" w:rsidRPr="00065ED5" w:rsidTr="00AF4787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предметном</w:t>
            </w:r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QS «Social Policy &amp; Administration»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предметном</w:t>
            </w:r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QS «Politics &amp; International studies»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40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40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предметном</w:t>
            </w:r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QS «Computer science and information systems»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451-500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451 - 500</w:t>
            </w:r>
          </w:p>
        </w:tc>
      </w:tr>
      <w:tr w:rsidR="00AF4787" w:rsidRPr="00065ED5" w:rsidTr="00AF4787">
        <w:trPr>
          <w:trHeight w:val="192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301-350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351-400 (изменен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методологии привело к снижению позиции в рейтинге)</w:t>
            </w:r>
          </w:p>
        </w:tc>
      </w:tr>
      <w:tr w:rsidR="00AF4787" w:rsidRPr="00065ED5" w:rsidTr="00AF4787">
        <w:trPr>
          <w:trHeight w:val="55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Создание междисциплинарных исследовательских центров / «зеркальных» лабораторий с университетами-партнерами (ТОП-300) и предприятиями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Приказы о создании междисциплинарных исследовательских центров / «зеркальных» лабораторий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Сухушин Д.В.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4.1.3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 xml:space="preserve">DH направление реализуется в </w:t>
            </w:r>
            <w:proofErr w:type="gramStart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ассоциации 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цифровых гуманитарных наук. С января 2018г. </w:t>
            </w:r>
            <w:proofErr w:type="spellStart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DHRussian</w:t>
            </w:r>
            <w:proofErr w:type="spellEnd"/>
            <w:r w:rsidRPr="002D3254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 с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татус ассоциированной организации EADH.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по создани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DH-центра перенесено на сентябрь 2018г.</w:t>
            </w:r>
          </w:p>
        </w:tc>
      </w:tr>
      <w:tr w:rsidR="00AF4787" w:rsidRPr="00065ED5" w:rsidTr="00AF4787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модернизация совместных ООП, включая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, на русском/английском языках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об открытии и/или модернизации совместных ООП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Можаева Г.В.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1.1.4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Формирование парка исследовательских проектов на конкурсной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парк исследовательских проектов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Борило Л.П.,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Можаева Г.В.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4.2.4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33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Привлечение ведущих зарубежных и отечественных специалистов мирового класса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ведущих зарубежных и отечественных специалистов мирового класса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Ковас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Ю., Можаева Г.В.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2.2.1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br/>
              <w:t>из них 16  зарубежные специалисты, 6 отечественные специалис</w:t>
            </w:r>
            <w:r w:rsidRPr="002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мирового класса.</w:t>
            </w:r>
          </w:p>
        </w:tc>
      </w:tr>
      <w:tr w:rsidR="00AF4787" w:rsidRPr="00065ED5" w:rsidTr="00AF4787">
        <w:trPr>
          <w:trHeight w:val="14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Проведение летних и зимних междисциплинарных студенческих и аспирантских школ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проведении летних и зимних междисциплинарных студенческих и аспирантских школ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Л.П.,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Бабанская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3.3.3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81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Реализация научных и прикладных консалтинговых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Утвержденный план реализации прикладных научных и консалтинговых проектов: 1. Изучение структуры пространственных способностей и их взаимосвязь с академической успешностью (Сметана (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Ковас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) Юлия Владимировна),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Разработка и апробация требований к компетенциям сотрудников, участвующих в разработке и реализации онлайн-курсов, в составе модели системы оценки качества онлайн-курсов в целях развития академической мобильности обучающихся в рамках приоритетного проекта «Современная цифровая образовательная среда в Российской Федерации» (Можаева Галина Васильевна),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Исследование когнитивных, нейрофизиологических и психологических факторов процесса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решений и возможностей прогнозирования его результатов для повышения эффективности коллективного взаимодействия (Мягков Михаил Георгиевич),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Интеллектуальные реконфигурируемые системы управления, навигации и обработки изображений для автономных подвижных роботов (Шидловский Станислав Викторович),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5. Исследование факторов индивидуализации образования в вузе на основе анализа данных социальных медиа и систем управления учебным процессом (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Артем Викторович),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>6. Модели, эффекты и тенденции социального предпринимательства в регионе (на примере Томской области) (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Кашпур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Викторович),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Понимание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динамичной природы эффектов учителя/класса на образовательные достижения: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кросс-культурное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(Богданова Ольга Евгеньевна).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Резанова З.И.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М 4.2.5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2D3254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787" w:rsidRPr="00065ED5" w:rsidTr="00AF4787">
        <w:trPr>
          <w:trHeight w:val="154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Формирование и развитие САЕ Институт «Умные материалы и технологии» (SMTI)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Цель САЕ: формирование на базе ТГУ научно-образовательного центра мирового уровня, обеспечивающего подготовку конкурентоспособных специалистов, проведение научных исследований в области прогнозирования на нан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мезоуровне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физико-химических свойств новых материалов и технологических процессов на основе математического и компьютерного моделирования с последующим переходом к полному циклу исследования, производства и внедрения «умных» материалов и технологий.</w:t>
            </w:r>
          </w:p>
        </w:tc>
      </w:tr>
      <w:tr w:rsidR="00AF4787" w:rsidRPr="00065ED5" w:rsidTr="00AF4787">
        <w:trPr>
          <w:trHeight w:val="243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Задачи САЕ: создание единой научно-образовательной среды на основе многоуровневой системы подготовки кадров с целью ускорения цикла создания новых материалов и технологий, удешевления конечных продуктов; проведение фундаментальных и прикладных исследований по разработке новых «умных» материалов и разработка промышленных технологий создания конструкций на их основе с привлечением ведущих отечественных и зарубежных специалистов; разработка методов многоуровневого математического моделирования и создание новых высокоэффективных материалов, установок и систем на их основе с использованием аддитивных технологий для высокотехнологичных отраслей промышленности и новых рынков; повышение образовательной и научно-исследовательской конкурентоспособности Университета на мировом уровне.</w:t>
            </w:r>
          </w:p>
        </w:tc>
      </w:tr>
      <w:tr w:rsidR="00AF4787" w:rsidRPr="00065ED5" w:rsidTr="00AF4787">
        <w:trPr>
          <w:trHeight w:val="4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Позиции в отраслевых (предметных) рейтингах по итогам 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развития САЕ:</w:t>
            </w:r>
          </w:p>
        </w:tc>
      </w:tr>
      <w:tr w:rsidR="00AF4787" w:rsidRPr="00065ED5" w:rsidTr="00AF4787">
        <w:trPr>
          <w:trHeight w:val="4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AF4787" w:rsidRPr="00065ED5" w:rsidTr="00AF4787">
        <w:trPr>
          <w:trHeight w:val="4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4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Engineering&amp;Technology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451-500</w:t>
            </w:r>
          </w:p>
        </w:tc>
      </w:tr>
      <w:tr w:rsidR="00AF4787" w:rsidRPr="00065ED5" w:rsidTr="00AF4787">
        <w:trPr>
          <w:trHeight w:val="4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4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Mechanical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451-500</w:t>
            </w:r>
          </w:p>
        </w:tc>
      </w:tr>
      <w:tr w:rsidR="00AF4787" w:rsidRPr="00065ED5" w:rsidTr="00AF4787">
        <w:trPr>
          <w:trHeight w:val="201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351-400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451 – 500 (изменение метод</w:t>
            </w:r>
            <w:r w:rsidRPr="00065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ологии привело к снижению позиции в рейтинге)</w:t>
            </w:r>
          </w:p>
        </w:tc>
      </w:tr>
      <w:tr w:rsidR="00AF4787" w:rsidRPr="00065ED5" w:rsidTr="00AF4787">
        <w:trPr>
          <w:trHeight w:val="4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4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Astronomy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201-250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 xml:space="preserve">201 - </w:t>
            </w:r>
            <w:r w:rsidRPr="00065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</w:tc>
      </w:tr>
      <w:tr w:rsidR="00AF4787" w:rsidRPr="00065ED5" w:rsidTr="00AF4787">
        <w:trPr>
          <w:trHeight w:val="52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в предметном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QS «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ElectricalEngineering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451-500</w:t>
            </w:r>
          </w:p>
        </w:tc>
      </w:tr>
      <w:tr w:rsidR="00AF4787" w:rsidRPr="00065ED5" w:rsidTr="00AF4787">
        <w:trPr>
          <w:trHeight w:val="17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модернизация ООП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магистерских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 и аспирантских программ по научным направлениям САЕ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об открытии и/или модернизации  10 ООП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магистерских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 аспирантских /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Слижов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Ю.Г.; Шрагер Э.Р.; Коротаев А.Г.; Чайковская О.Н.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М 1.1.4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20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Создание системы целевой подготовки высококвалифицированных кадров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системы целевой подготовки высококвалифицированных кадров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Слижов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Ю.Г.; Шрагер Э.Р.; Коротаев А.Г.; Чайковская О.Н.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М 1.1.3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 xml:space="preserve">Схема разработана, реализация: 4 </w:t>
            </w:r>
            <w:proofErr w:type="gramStart"/>
            <w:r w:rsidRPr="00065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профильных</w:t>
            </w:r>
            <w:proofErr w:type="gramEnd"/>
            <w:r w:rsidRPr="00065ED5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(новый формат)</w:t>
            </w:r>
          </w:p>
        </w:tc>
      </w:tr>
      <w:tr w:rsidR="00AF4787" w:rsidRPr="00065ED5" w:rsidTr="00AF4787">
        <w:trPr>
          <w:trHeight w:val="16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международных научно-образовательных школ-конференций и научных конференций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Приказы о проведении научно-образовательных школ-конференций и научных конференций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Слижов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Ю.Г.; Шрагер Э.Р.; Коротаев А.Г.; Чайковская О.Н.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М 4.1.10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28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Привлечение ведущих зарубежных и отечественных специалистов мирового класса, сотрудников инновационных глобально-ориентированных 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ведущих зарубежных и отечественных специалистов мирового класса, сотрудников инновационных глобально-ориентированных партнеров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Ивонин И.В,</w:t>
            </w:r>
            <w:r w:rsidRPr="0040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М 2.2.1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22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программ научных исследований в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САЕ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Утвержденный план реализации Формирование программ научных исследований в рамках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Ивонин И.В., Войцеховский А.В., Кузнецов В.М.,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В.В., Кульков С.Н., Ворожцов А.Б., Ищенко А.Н.,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Скрипняк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Чумляков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М 4.1.1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4787" w:rsidRPr="00065ED5" w:rsidTr="00AF4787">
        <w:trPr>
          <w:trHeight w:val="25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Участие/лидерство в крупных международных сетевых </w:t>
            </w:r>
            <w:proofErr w:type="gram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, научных сообществах и коллаборациях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вступлении/организации крупных международных сетевых проектов, научных сообществ и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коллабораций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407BB6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Ивонин И.В., Войцеховский А.В., Кузнецов В.М.,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В.В., Кульков С.Н., Ворожцов А.Б., Ищенко А.Н.,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Скрипняк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>Чумляков</w:t>
            </w:r>
            <w:proofErr w:type="spellEnd"/>
            <w:r w:rsidRPr="00407BB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М 4.1.7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87" w:rsidRPr="00065ED5" w:rsidRDefault="00AF4787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D1C56" w:rsidRDefault="00AF4787"/>
    <w:sectPr w:rsidR="00ED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6F8"/>
    <w:multiLevelType w:val="multilevel"/>
    <w:tmpl w:val="D0063216"/>
    <w:lvl w:ilvl="0">
      <w:start w:val="1"/>
      <w:numFmt w:val="bullet"/>
      <w:pStyle w:val="TableBulletAri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5"/>
      <w:lvlText w:val="~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pStyle w:val="ListBullet6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6">
      <w:start w:val="1"/>
      <w:numFmt w:val="bullet"/>
      <w:pStyle w:val="ListBullet7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7">
      <w:start w:val="1"/>
      <w:numFmt w:val="bullet"/>
      <w:pStyle w:val="ListBullet8"/>
      <w:lvlText w:val="◦"/>
      <w:lvlJc w:val="left"/>
      <w:pPr>
        <w:tabs>
          <w:tab w:val="num" w:pos="3175"/>
        </w:tabs>
        <w:ind w:left="3175" w:hanging="397"/>
      </w:pPr>
      <w:rPr>
        <w:rFonts w:ascii="Georgia" w:hAnsi="Georgia" w:hint="default"/>
      </w:rPr>
    </w:lvl>
    <w:lvl w:ilvl="8">
      <w:start w:val="1"/>
      <w:numFmt w:val="bullet"/>
      <w:pStyle w:val="ListBullet9"/>
      <w:lvlText w:val=""/>
      <w:lvlJc w:val="left"/>
      <w:pPr>
        <w:tabs>
          <w:tab w:val="num" w:pos="3572"/>
        </w:tabs>
        <w:ind w:left="3572" w:hanging="397"/>
      </w:pPr>
      <w:rPr>
        <w:rFonts w:ascii="Symbol" w:hAnsi="Symbol" w:hint="default"/>
      </w:rPr>
    </w:lvl>
  </w:abstractNum>
  <w:abstractNum w:abstractNumId="1">
    <w:nsid w:val="3C043180"/>
    <w:multiLevelType w:val="multilevel"/>
    <w:tmpl w:val="E09AEEDE"/>
    <w:lvl w:ilvl="0">
      <w:start w:val="1"/>
      <w:numFmt w:val="decimal"/>
      <w:pStyle w:val="ExhibitHeading1"/>
      <w:suff w:val="space"/>
      <w:lvlText w:val="Приложение %1. -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lvlText w:val="П 1.%2."/>
      <w:lvlJc w:val="left"/>
      <w:pPr>
        <w:ind w:left="5671" w:firstLine="0"/>
      </w:pPr>
      <w:rPr>
        <w:rFonts w:hint="default"/>
      </w:rPr>
    </w:lvl>
    <w:lvl w:ilvl="2">
      <w:start w:val="1"/>
      <w:numFmt w:val="decimal"/>
      <w:pStyle w:val="ExhibitHeading3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</w:rPr>
    </w:lvl>
    <w:lvl w:ilvl="3">
      <w:start w:val="1"/>
      <w:numFmt w:val="decimal"/>
      <w:pStyle w:val="ExhibitHeading4"/>
      <w:suff w:val="space"/>
      <w:lvlText w:val="%1.%2.%3.%4."/>
      <w:lvlJc w:val="left"/>
      <w:pPr>
        <w:ind w:left="0" w:firstLine="0"/>
      </w:pPr>
      <w:rPr>
        <w:rFonts w:asciiTheme="majorHAnsi" w:hAnsiTheme="maj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">
    <w:nsid w:val="3CF411E1"/>
    <w:multiLevelType w:val="multilevel"/>
    <w:tmpl w:val="EAE63FFA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">
    <w:nsid w:val="4B8F7E72"/>
    <w:multiLevelType w:val="multilevel"/>
    <w:tmpl w:val="F2AAEC48"/>
    <w:lvl w:ilvl="0">
      <w:start w:val="1"/>
      <w:numFmt w:val="decimal"/>
      <w:lvlText w:val="Приложение %1. - 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644" w:hanging="453"/>
      </w:pPr>
      <w:rPr>
        <w:rFonts w:asciiTheme="minorHAnsi" w:hAnsiTheme="minorHAnsi" w:hint="default"/>
      </w:rPr>
    </w:lvl>
    <w:lvl w:ilvl="4">
      <w:start w:val="1"/>
      <w:numFmt w:val="decimal"/>
      <w:pStyle w:val="50"/>
      <w:lvlText w:val="%5."/>
      <w:lvlJc w:val="left"/>
      <w:pPr>
        <w:tabs>
          <w:tab w:val="num" w:pos="1985"/>
        </w:tabs>
        <w:ind w:left="1985" w:hanging="341"/>
      </w:pPr>
      <w:rPr>
        <w:rFonts w:asciiTheme="minorHAnsi" w:hAnsiTheme="minorHAnsi"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decimal"/>
      <w:pStyle w:val="ListNumber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decimal"/>
      <w:pStyle w:val="ListNumber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4">
    <w:nsid w:val="591B384E"/>
    <w:multiLevelType w:val="multilevel"/>
    <w:tmpl w:val="CA1AF08C"/>
    <w:lvl w:ilvl="0">
      <w:start w:val="1"/>
      <w:numFmt w:val="lowerRoman"/>
      <w:pStyle w:val="ListRoman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pStyle w:val="ListRoman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Roman6"/>
      <w:lvlText w:val="%6."/>
      <w:lvlJc w:val="left"/>
      <w:pPr>
        <w:tabs>
          <w:tab w:val="num" w:pos="2381"/>
        </w:tabs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pStyle w:val="ListRoman7"/>
      <w:lvlText w:val="%7."/>
      <w:lvlJc w:val="left"/>
      <w:pPr>
        <w:tabs>
          <w:tab w:val="num" w:pos="2778"/>
        </w:tabs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pStyle w:val="ListRoman8"/>
      <w:lvlText w:val="%8."/>
      <w:lvlJc w:val="left"/>
      <w:pPr>
        <w:tabs>
          <w:tab w:val="num" w:pos="3175"/>
        </w:tabs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Roman9"/>
      <w:lvlText w:val="%9."/>
      <w:lvlJc w:val="left"/>
      <w:pPr>
        <w:tabs>
          <w:tab w:val="num" w:pos="3572"/>
        </w:tabs>
        <w:ind w:left="3573" w:hanging="397"/>
      </w:pPr>
      <w:rPr>
        <w:rFonts w:asciiTheme="minorHAnsi" w:hAnsiTheme="minorHAnsi" w:hint="default"/>
      </w:rPr>
    </w:lvl>
  </w:abstractNum>
  <w:abstractNum w:abstractNumId="5">
    <w:nsid w:val="6C9C6C87"/>
    <w:multiLevelType w:val="multilevel"/>
    <w:tmpl w:val="F9445A90"/>
    <w:lvl w:ilvl="0">
      <w:start w:val="1"/>
      <w:numFmt w:val="lowerLetter"/>
      <w:pStyle w:val="ListAlpha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sz w:val="20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Alpha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lowerLetter"/>
      <w:pStyle w:val="ListAlpha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Alpha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lowerLetter"/>
      <w:pStyle w:val="ListAlpha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6">
    <w:nsid w:val="6E602E4C"/>
    <w:multiLevelType w:val="multilevel"/>
    <w:tmpl w:val="2FA8A094"/>
    <w:lvl w:ilvl="0">
      <w:start w:val="1"/>
      <w:numFmt w:val="decimal"/>
      <w:pStyle w:val="10"/>
      <w:suff w:val="space"/>
      <w:lvlText w:val="%1."/>
      <w:lvlJc w:val="left"/>
      <w:pPr>
        <w:ind w:left="533" w:hanging="533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345" w:hanging="777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>
    <w:nsid w:val="742871BD"/>
    <w:multiLevelType w:val="multilevel"/>
    <w:tmpl w:val="3C0032DC"/>
    <w:lvl w:ilvl="0">
      <w:start w:val="1"/>
      <w:numFmt w:val="upperLetter"/>
      <w:pStyle w:val="AppendixHeading1"/>
      <w:suff w:val="space"/>
      <w:lvlText w:val="Appendix %1. -"/>
      <w:lvlJc w:val="left"/>
      <w:pPr>
        <w:ind w:left="533" w:hanging="533"/>
      </w:pPr>
      <w:rPr>
        <w:rFonts w:asciiTheme="minorHAnsi" w:hAnsiTheme="minorHAns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.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87"/>
    <w:rsid w:val="00300350"/>
    <w:rsid w:val="006B4087"/>
    <w:rsid w:val="00AF4787"/>
    <w:rsid w:val="00B2367C"/>
    <w:rsid w:val="00BE6CA8"/>
    <w:rsid w:val="00C53C59"/>
    <w:rsid w:val="00EF7D42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87"/>
    <w:rPr>
      <w:rFonts w:eastAsiaTheme="minorEastAsia"/>
      <w:lang w:eastAsia="ru-RU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eastAsiaTheme="majorEastAsia" w:cstheme="majorBidi"/>
      <w:b/>
      <w:bCs/>
      <w:i/>
      <w:sz w:val="48"/>
      <w:szCs w:val="28"/>
      <w:lang w:eastAsia="en-US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eastAsiaTheme="majorEastAsia" w:cstheme="majorBidi"/>
      <w:b/>
      <w:bCs/>
      <w:i/>
      <w:color w:val="DC6900" w:themeColor="accent1"/>
      <w:sz w:val="32"/>
      <w:szCs w:val="26"/>
      <w:lang w:eastAsia="en-US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eastAsiaTheme="majorEastAsia" w:cstheme="majorBidi"/>
      <w:b/>
      <w:bCs/>
      <w:i/>
      <w:color w:val="DC6900" w:themeColor="accent1"/>
      <w:sz w:val="28"/>
      <w:lang w:eastAsia="en-US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eastAsiaTheme="majorEastAsia" w:cstheme="majorBidi"/>
      <w:bCs/>
      <w:i/>
      <w:iCs/>
      <w:color w:val="DC6900" w:themeColor="accent1"/>
      <w:sz w:val="28"/>
      <w:lang w:eastAsia="en-US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eastAsiaTheme="majorEastAsia" w:cstheme="majorBidi"/>
      <w:i/>
      <w:color w:val="DC6900" w:themeColor="text2"/>
      <w:sz w:val="24"/>
      <w:lang w:eastAsia="en-US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eastAsiaTheme="majorEastAsia" w:cstheme="majorBidi"/>
      <w:iCs/>
      <w:color w:val="DC6900" w:themeColor="text2"/>
      <w:sz w:val="24"/>
      <w:lang w:eastAsia="en-US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eastAsiaTheme="majorEastAsia" w:cstheme="majorBidi"/>
      <w:i/>
      <w:iCs/>
      <w:color w:val="404040" w:themeColor="text1" w:themeTint="BF"/>
      <w:sz w:val="20"/>
      <w:lang w:eastAsia="en-US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eastAsiaTheme="minorHAnsi" w:hAnsiTheme="majorHAnsi"/>
      <w:i/>
      <w:noProof/>
      <w:color w:val="000000" w:themeColor="text1"/>
      <w:sz w:val="18"/>
      <w:szCs w:val="18"/>
      <w:lang w:eastAsia="en-US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rFonts w:eastAsiaTheme="minorHAnsi"/>
      <w:i/>
      <w:color w:val="FFFFFF" w:themeColor="background2"/>
      <w:sz w:val="48"/>
      <w:lang w:eastAsia="en-US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rFonts w:eastAsiaTheme="minorHAnsi"/>
      <w:b/>
      <w:i/>
      <w:color w:val="DC6900" w:themeColor="text2"/>
      <w:sz w:val="48"/>
      <w:lang w:eastAsia="en-US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rFonts w:eastAsiaTheme="minorHAnsi"/>
      <w:color w:val="000000" w:themeColor="text1"/>
      <w:lang w:eastAsia="en-US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eastAsiaTheme="minorHAnsi" w:cstheme="minorHAnsi"/>
      <w:color w:val="000000" w:themeColor="text1"/>
      <w:sz w:val="12"/>
      <w:szCs w:val="12"/>
      <w:lang w:eastAsia="en-US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eastAsiaTheme="minorHAnsi" w:hAnsi="Arial"/>
      <w:color w:val="00A5FF"/>
      <w:sz w:val="16"/>
      <w:lang w:eastAsia="en-US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  <w:rPr>
      <w:rFonts w:eastAsiaTheme="minorHAnsi"/>
      <w:lang w:eastAsia="en-US"/>
    </w:r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  <w:rPr>
      <w:rFonts w:eastAsiaTheme="minorHAnsi"/>
      <w:lang w:eastAsia="en-US"/>
    </w:r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  <w:rPr>
      <w:rFonts w:eastAsiaTheme="minorHAnsi"/>
      <w:lang w:eastAsia="en-US"/>
    </w:r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  <w:rPr>
      <w:rFonts w:eastAsiaTheme="minorHAnsi"/>
      <w:lang w:eastAsia="en-US"/>
    </w:r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rFonts w:eastAsiaTheme="minorHAnsi"/>
      <w:sz w:val="20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rFonts w:eastAsiaTheme="minorHAnsi"/>
      <w:b/>
      <w:i/>
      <w:color w:val="DC6900" w:themeColor="text2"/>
      <w:sz w:val="32"/>
      <w:szCs w:val="32"/>
      <w:lang w:eastAsia="en-US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rFonts w:eastAsiaTheme="minorHAnsi"/>
      <w:b/>
      <w:i/>
      <w:color w:val="DC6900" w:themeColor="text2"/>
      <w:sz w:val="28"/>
      <w:szCs w:val="28"/>
      <w:lang w:eastAsia="en-US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rFonts w:eastAsiaTheme="minorHAnsi"/>
      <w:i/>
      <w:color w:val="DC6900" w:themeColor="text2"/>
      <w:sz w:val="28"/>
      <w:szCs w:val="28"/>
      <w:lang w:eastAsia="en-US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rFonts w:eastAsiaTheme="minorHAnsi"/>
      <w:i/>
      <w:sz w:val="18"/>
      <w:lang w:eastAsia="en-US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rFonts w:eastAsiaTheme="minorHAnsi"/>
      <w:sz w:val="48"/>
      <w:lang w:eastAsia="en-US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rFonts w:eastAsiaTheme="minorHAnsi"/>
      <w:i/>
      <w:color w:val="DC6900" w:themeColor="text2"/>
      <w:sz w:val="24"/>
      <w:szCs w:val="24"/>
      <w:lang w:eastAsia="en-US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rFonts w:eastAsiaTheme="minorHAnsi"/>
      <w:b/>
      <w:i/>
      <w:color w:val="DC6900" w:themeColor="text2"/>
      <w:sz w:val="28"/>
      <w:lang w:eastAsia="en-US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 w:cs="Times New Roman"/>
      <w:sz w:val="18"/>
      <w:szCs w:val="20"/>
      <w:lang w:val="en-CA" w:eastAsia="en-US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eastAsia="Times New Roman" w:cs="Times New Roman"/>
      <w:sz w:val="20"/>
      <w:szCs w:val="20"/>
      <w:lang w:eastAsia="en-US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 w:cs="Times New Roman"/>
      <w:szCs w:val="20"/>
      <w:lang w:eastAsia="en-US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 w:cs="Times New Roman"/>
      <w:b/>
      <w:color w:val="DC6900" w:themeColor="accent1"/>
      <w:szCs w:val="20"/>
      <w:lang w:eastAsia="en-US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eastAsiaTheme="minorHAnsi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eastAsiaTheme="minorHAnsi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eastAsiaTheme="minorHAnsi" w:hAnsi="Arial"/>
      <w:color w:val="000000" w:themeColor="text1"/>
      <w:sz w:val="16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rFonts w:eastAsiaTheme="minorHAnsi"/>
      <w:b/>
      <w:bCs/>
      <w:color w:val="DC6900" w:themeColor="accent1"/>
      <w:szCs w:val="18"/>
      <w:lang w:eastAsia="en-US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  <w:rPr>
      <w:rFonts w:eastAsiaTheme="minorHAnsi"/>
      <w:lang w:eastAsia="en-US"/>
    </w:r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  <w:rPr>
      <w:rFonts w:eastAsiaTheme="minorHAnsi"/>
      <w:lang w:eastAsia="en-US"/>
    </w:r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  <w:lang w:eastAsia="en-US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  <w:lang w:eastAsia="en-US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rFonts w:eastAsiaTheme="minorHAnsi"/>
      <w:sz w:val="20"/>
      <w:lang w:eastAsia="en-US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eastAsiaTheme="minorHAnsi" w:hAnsiTheme="majorHAnsi"/>
      <w:i/>
      <w:iCs/>
      <w:color w:val="000000" w:themeColor="text1"/>
      <w:sz w:val="20"/>
      <w:lang w:eastAsia="en-US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eastAsiaTheme="minorHAnsi" w:hAnsiTheme="majorHAnsi"/>
      <w:b/>
      <w:bCs/>
      <w:i/>
      <w:iCs/>
      <w:color w:val="DC6900" w:themeColor="accent1"/>
      <w:sz w:val="20"/>
      <w:lang w:eastAsia="en-US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87"/>
    <w:rPr>
      <w:rFonts w:eastAsiaTheme="minorEastAsia"/>
      <w:lang w:eastAsia="ru-RU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eastAsiaTheme="majorEastAsia" w:cstheme="majorBidi"/>
      <w:b/>
      <w:bCs/>
      <w:i/>
      <w:sz w:val="48"/>
      <w:szCs w:val="28"/>
      <w:lang w:eastAsia="en-US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eastAsiaTheme="majorEastAsia" w:cstheme="majorBidi"/>
      <w:b/>
      <w:bCs/>
      <w:i/>
      <w:color w:val="DC6900" w:themeColor="accent1"/>
      <w:sz w:val="32"/>
      <w:szCs w:val="26"/>
      <w:lang w:eastAsia="en-US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eastAsiaTheme="majorEastAsia" w:cstheme="majorBidi"/>
      <w:b/>
      <w:bCs/>
      <w:i/>
      <w:color w:val="DC6900" w:themeColor="accent1"/>
      <w:sz w:val="28"/>
      <w:lang w:eastAsia="en-US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eastAsiaTheme="majorEastAsia" w:cstheme="majorBidi"/>
      <w:bCs/>
      <w:i/>
      <w:iCs/>
      <w:color w:val="DC6900" w:themeColor="accent1"/>
      <w:sz w:val="28"/>
      <w:lang w:eastAsia="en-US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eastAsiaTheme="majorEastAsia" w:cstheme="majorBidi"/>
      <w:i/>
      <w:color w:val="DC6900" w:themeColor="text2"/>
      <w:sz w:val="24"/>
      <w:lang w:eastAsia="en-US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eastAsiaTheme="majorEastAsia" w:cstheme="majorBidi"/>
      <w:iCs/>
      <w:color w:val="DC6900" w:themeColor="text2"/>
      <w:sz w:val="24"/>
      <w:lang w:eastAsia="en-US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eastAsiaTheme="majorEastAsia" w:cstheme="majorBidi"/>
      <w:i/>
      <w:iCs/>
      <w:color w:val="404040" w:themeColor="text1" w:themeTint="BF"/>
      <w:sz w:val="20"/>
      <w:lang w:eastAsia="en-US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eastAsiaTheme="minorHAnsi" w:hAnsiTheme="majorHAnsi"/>
      <w:i/>
      <w:noProof/>
      <w:color w:val="000000" w:themeColor="text1"/>
      <w:sz w:val="18"/>
      <w:szCs w:val="18"/>
      <w:lang w:eastAsia="en-US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rFonts w:eastAsiaTheme="minorHAnsi"/>
      <w:i/>
      <w:color w:val="FFFFFF" w:themeColor="background2"/>
      <w:sz w:val="48"/>
      <w:lang w:eastAsia="en-US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rFonts w:eastAsiaTheme="minorHAnsi"/>
      <w:b/>
      <w:i/>
      <w:color w:val="DC6900" w:themeColor="text2"/>
      <w:sz w:val="48"/>
      <w:lang w:eastAsia="en-US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rFonts w:eastAsiaTheme="minorHAnsi"/>
      <w:color w:val="000000" w:themeColor="text1"/>
      <w:lang w:eastAsia="en-US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eastAsiaTheme="minorHAnsi" w:cstheme="minorHAnsi"/>
      <w:color w:val="000000" w:themeColor="text1"/>
      <w:sz w:val="12"/>
      <w:szCs w:val="12"/>
      <w:lang w:eastAsia="en-US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eastAsiaTheme="minorHAnsi" w:hAnsi="Arial"/>
      <w:color w:val="00A5FF"/>
      <w:sz w:val="16"/>
      <w:lang w:eastAsia="en-US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  <w:rPr>
      <w:rFonts w:eastAsiaTheme="minorHAnsi"/>
      <w:lang w:eastAsia="en-US"/>
    </w:r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  <w:rPr>
      <w:rFonts w:eastAsiaTheme="minorHAnsi"/>
      <w:lang w:eastAsia="en-US"/>
    </w:r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  <w:rPr>
      <w:rFonts w:eastAsiaTheme="minorHAnsi"/>
      <w:lang w:eastAsia="en-US"/>
    </w:r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  <w:rPr>
      <w:rFonts w:eastAsiaTheme="minorHAnsi"/>
      <w:lang w:eastAsia="en-US"/>
    </w:r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rFonts w:eastAsiaTheme="minorHAnsi"/>
      <w:sz w:val="20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rFonts w:eastAsiaTheme="minorHAnsi"/>
      <w:b/>
      <w:i/>
      <w:color w:val="DC6900" w:themeColor="text2"/>
      <w:sz w:val="32"/>
      <w:szCs w:val="32"/>
      <w:lang w:eastAsia="en-US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rFonts w:eastAsiaTheme="minorHAnsi"/>
      <w:b/>
      <w:i/>
      <w:color w:val="DC6900" w:themeColor="text2"/>
      <w:sz w:val="28"/>
      <w:szCs w:val="28"/>
      <w:lang w:eastAsia="en-US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rFonts w:eastAsiaTheme="minorHAnsi"/>
      <w:i/>
      <w:color w:val="DC6900" w:themeColor="text2"/>
      <w:sz w:val="28"/>
      <w:szCs w:val="28"/>
      <w:lang w:eastAsia="en-US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rFonts w:eastAsiaTheme="minorHAnsi"/>
      <w:i/>
      <w:sz w:val="18"/>
      <w:lang w:eastAsia="en-US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rFonts w:eastAsiaTheme="minorHAnsi"/>
      <w:sz w:val="48"/>
      <w:lang w:eastAsia="en-US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rFonts w:eastAsiaTheme="minorHAnsi"/>
      <w:i/>
      <w:color w:val="DC6900" w:themeColor="text2"/>
      <w:sz w:val="24"/>
      <w:szCs w:val="24"/>
      <w:lang w:eastAsia="en-US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rFonts w:eastAsiaTheme="minorHAnsi"/>
      <w:b/>
      <w:i/>
      <w:color w:val="DC6900" w:themeColor="text2"/>
      <w:sz w:val="28"/>
      <w:lang w:eastAsia="en-US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 w:cs="Times New Roman"/>
      <w:sz w:val="18"/>
      <w:szCs w:val="20"/>
      <w:lang w:val="en-CA" w:eastAsia="en-US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eastAsia="Times New Roman" w:cs="Times New Roman"/>
      <w:sz w:val="20"/>
      <w:szCs w:val="20"/>
      <w:lang w:eastAsia="en-US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 w:cs="Times New Roman"/>
      <w:szCs w:val="20"/>
      <w:lang w:eastAsia="en-US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 w:cs="Times New Roman"/>
      <w:b/>
      <w:color w:val="DC6900" w:themeColor="accent1"/>
      <w:szCs w:val="20"/>
      <w:lang w:eastAsia="en-US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eastAsiaTheme="minorHAnsi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eastAsiaTheme="minorHAnsi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eastAsiaTheme="minorHAnsi" w:hAnsi="Arial"/>
      <w:color w:val="000000" w:themeColor="text1"/>
      <w:sz w:val="16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rFonts w:eastAsiaTheme="minorHAnsi"/>
      <w:b/>
      <w:bCs/>
      <w:color w:val="DC6900" w:themeColor="accent1"/>
      <w:szCs w:val="18"/>
      <w:lang w:eastAsia="en-US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  <w:rPr>
      <w:rFonts w:eastAsiaTheme="minorHAnsi"/>
      <w:lang w:eastAsia="en-US"/>
    </w:r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  <w:rPr>
      <w:rFonts w:eastAsiaTheme="minorHAnsi"/>
      <w:lang w:eastAsia="en-US"/>
    </w:r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  <w:lang w:eastAsia="en-US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  <w:lang w:eastAsia="en-US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rFonts w:eastAsiaTheme="minorHAnsi"/>
      <w:sz w:val="20"/>
      <w:lang w:eastAsia="en-US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eastAsiaTheme="minorHAnsi" w:hAnsiTheme="majorHAnsi"/>
      <w:i/>
      <w:iCs/>
      <w:color w:val="000000" w:themeColor="text1"/>
      <w:sz w:val="20"/>
      <w:lang w:eastAsia="en-US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eastAsiaTheme="minorHAnsi" w:hAnsiTheme="majorHAnsi"/>
      <w:b/>
      <w:bCs/>
      <w:i/>
      <w:iCs/>
      <w:color w:val="DC6900" w:themeColor="accent1"/>
      <w:sz w:val="20"/>
      <w:lang w:eastAsia="en-US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mart Excel Theme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DB536A"/>
      </a:accent4>
      <a:accent5>
        <a:srgbClr val="A32020"/>
      </a:accent5>
      <a:accent6>
        <a:srgbClr val="E0301E"/>
      </a:accent6>
      <a:hlink>
        <a:srgbClr val="DC6900"/>
      </a:hlink>
      <a:folHlink>
        <a:srgbClr val="DC6900"/>
      </a:folHlink>
    </a:clrScheme>
    <a:fontScheme name="Word Font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2940</Words>
  <Characters>16761</Characters>
  <Application>Microsoft Office Word</Application>
  <DocSecurity>0</DocSecurity>
  <Lines>139</Lines>
  <Paragraphs>39</Paragraphs>
  <ScaleCrop>false</ScaleCrop>
  <Company/>
  <LinksUpToDate>false</LinksUpToDate>
  <CharactersWithSpaces>19662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2018-10-17T12:14:00Z</dcterms:created>
  <dcterms:modified xsi:type="dcterms:W3CDTF">2018-10-17T12:15:00Z</dcterms:modified>
</cp:coreProperties>
</file>